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360"/>
        <w:ind w:right="0" w:left="0" w:firstLine="0"/>
        <w:jc w:val="center"/>
        <w:rPr>
          <w:rFonts w:ascii="Times New Roman" w:hAnsi="Times New Roman" w:cs="Times New Roman" w:eastAsia="Times New Roman"/>
          <w:b/>
          <w:color w:val="000000"/>
          <w:spacing w:val="0"/>
          <w:position w:val="0"/>
          <w:sz w:val="24"/>
          <w:shd w:fill="auto" w:val="clear"/>
        </w:rPr>
      </w:pPr>
    </w:p>
    <w:p>
      <w:pPr>
        <w:spacing w:before="0" w:after="0" w:line="36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ANEXO III - ATA DE REGISTRO DE PREÇOS</w:t>
      </w:r>
    </w:p>
    <w:p>
      <w:pPr>
        <w:spacing w:before="0" w:after="0" w:line="360"/>
        <w:ind w:right="-3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Nº .................</w:t>
      </w:r>
    </w:p>
    <w:p>
      <w:pPr>
        <w:tabs>
          <w:tab w:val="center" w:pos="4779" w:leader="none"/>
          <w:tab w:val="right" w:pos="9198" w:leader="none"/>
        </w:tabs>
        <w:spacing w:before="120" w:after="120" w:line="276"/>
        <w:ind w:right="-28" w:left="0" w:firstLine="141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aps w:val="true"/>
          <w:color w:val="auto"/>
          <w:spacing w:val="0"/>
          <w:position w:val="0"/>
          <w:sz w:val="24"/>
          <w:shd w:fill="auto" w:val="clear"/>
        </w:rPr>
        <w:t xml:space="preserve">o</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MUNICÍPIO DE NOVA SOURE - BA</w:t>
      </w:r>
      <w:r>
        <w:rPr>
          <w:rFonts w:ascii="Times New Roman" w:hAnsi="Times New Roman" w:cs="Times New Roman" w:eastAsia="Times New Roman"/>
          <w:color w:val="auto"/>
          <w:spacing w:val="0"/>
          <w:position w:val="0"/>
          <w:sz w:val="24"/>
          <w:shd w:fill="auto" w:val="clear"/>
        </w:rPr>
        <w:t xml:space="preserve">, pessoa jurídica de direito público interno, com sede a Rua Natuba – Centro, s/n - Nova Soure - Bahia, inscrito no CNPJ sob o nº 13.904.420/0001-44, neste ato representado por seu Prefeito, o Sr.xxxxxxxxxxxxxxxxx, nacionalidade, portador da Cédula de Identidade nº xxxxxxxxxxxx e inscrito no CPF nº xxxxxxxxxxxxxxxxx, considerando o julgamento da licitação na modalidade de pregão, na forma eletrônica, para REGISTRO DE PREÇOS nº ......./2024, publicada no ...... de ...../...../2024, processo administrativo nº ........, RESOLVE registrar os preços da(s)  empresa(s) indicada(s) e qualificada(s) nesta ATA, de acordo com a classificação por ela(s) alcançada(s) e na(s)  quantidade(s)  cotada(s), atendendo as condições previstas no </w:t>
      </w:r>
      <w:r>
        <w:rPr>
          <w:rFonts w:ascii="Times New Roman" w:hAnsi="Times New Roman" w:cs="Times New Roman" w:eastAsia="Times New Roman"/>
          <w:color w:val="FF0000"/>
          <w:spacing w:val="0"/>
          <w:position w:val="0"/>
          <w:sz w:val="24"/>
          <w:shd w:fill="auto" w:val="clear"/>
        </w:rPr>
        <w:t xml:space="preserve">Edital de licitação</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FF0000"/>
          <w:spacing w:val="0"/>
          <w:position w:val="0"/>
          <w:sz w:val="24"/>
          <w:shd w:fill="auto" w:val="clear"/>
        </w:rPr>
        <w:t xml:space="preserve">ou Aviso da Contratação Direta</w:t>
      </w:r>
      <w:r>
        <w:rPr>
          <w:rFonts w:ascii="Times New Roman" w:hAnsi="Times New Roman" w:cs="Times New Roman" w:eastAsia="Times New Roman"/>
          <w:color w:val="auto"/>
          <w:spacing w:val="0"/>
          <w:position w:val="0"/>
          <w:sz w:val="24"/>
          <w:shd w:fill="auto" w:val="clear"/>
        </w:rPr>
        <w:t xml:space="preserve">, sujeitando-se as partes às normas constantes na Lei nº 14.133, de 1º de abril de 2021, Resolução nº 02/2024 e em conformidade com as disposições a seguir:</w:t>
      </w:r>
    </w:p>
    <w:p>
      <w:pPr>
        <w:keepNext w:val="true"/>
        <w:keepLines w:val="true"/>
        <w:numPr>
          <w:ilvl w:val="0"/>
          <w:numId w:val="5"/>
        </w:numPr>
        <w:tabs>
          <w:tab w:val="left" w:pos="567" w:leader="none"/>
        </w:tabs>
        <w:spacing w:before="120" w:after="120" w:line="276"/>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DO OBJETO</w:t>
      </w:r>
    </w:p>
    <w:p>
      <w:pPr>
        <w:numPr>
          <w:ilvl w:val="0"/>
          <w:numId w:val="5"/>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 presente Ata tem por objeto o registro de preços para a eventual contratação de ........ , especificado(s) no(s) item(ns).......... do .......... Termo de Referência, anexo </w:t>
      </w:r>
      <w:r>
        <w:rPr>
          <w:rFonts w:ascii="Times New Roman" w:hAnsi="Times New Roman" w:cs="Times New Roman" w:eastAsia="Times New Roman"/>
          <w:color w:val="FF0000"/>
          <w:spacing w:val="0"/>
          <w:position w:val="0"/>
          <w:sz w:val="24"/>
          <w:shd w:fill="auto" w:val="clear"/>
        </w:rPr>
        <w:t xml:space="preserve">...... [do edital de Licitação nº ........../20...] ou [do Aviso da Contratação Direta nº]</w:t>
      </w:r>
      <w:r>
        <w:rPr>
          <w:rFonts w:ascii="Times New Roman" w:hAnsi="Times New Roman" w:cs="Times New Roman" w:eastAsia="Times New Roman"/>
          <w:color w:val="auto"/>
          <w:spacing w:val="0"/>
          <w:position w:val="0"/>
          <w:sz w:val="24"/>
          <w:shd w:fill="auto" w:val="clear"/>
        </w:rPr>
        <w:t xml:space="preserve">, que é parte integrante desta Ata, assim como as propostas cujos preços tenham sido registrados, independentemente de transcrição.</w:t>
      </w:r>
    </w:p>
    <w:p>
      <w:pPr>
        <w:keepNext w:val="true"/>
        <w:keepLines w:val="true"/>
        <w:numPr>
          <w:ilvl w:val="0"/>
          <w:numId w:val="5"/>
        </w:numPr>
        <w:tabs>
          <w:tab w:val="left" w:pos="567" w:leader="none"/>
        </w:tabs>
        <w:spacing w:before="120" w:after="120" w:line="276"/>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DOS PREÇOS, ESPECIFICAÇÕES E QUANTITATIVOS</w:t>
      </w:r>
    </w:p>
    <w:p>
      <w:pPr>
        <w:numPr>
          <w:ilvl w:val="0"/>
          <w:numId w:val="5"/>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O preço registrado, as especificações do objeto, as quantidades mínimas e máximas de cada item, fornecedor(es) e as demais condições ofertadas na(s) proposta(s) são as que seguem: </w:t>
      </w:r>
    </w:p>
    <w:tbl>
      <w:tblPr>
        <w:tblInd w:w="10" w:type="dxa"/>
      </w:tblPr>
      <w:tblGrid>
        <w:gridCol w:w="709"/>
        <w:gridCol w:w="1121"/>
        <w:gridCol w:w="1253"/>
        <w:gridCol w:w="1541"/>
        <w:gridCol w:w="1121"/>
        <w:gridCol w:w="1121"/>
        <w:gridCol w:w="841"/>
        <w:gridCol w:w="841"/>
        <w:gridCol w:w="844"/>
      </w:tblGrid>
      <w:tr>
        <w:trPr>
          <w:trHeight w:val="511" w:hRule="auto"/>
          <w:jc w:val="left"/>
        </w:trPr>
        <w:tc>
          <w:tcPr>
            <w:tcW w:w="709" w:type="dxa"/>
            <w:tcBorders>
              <w:top w:val="single" w:color="000000" w:sz="2"/>
              <w:left w:val="single" w:color="000000" w:sz="2"/>
              <w:bottom w:val="single" w:color="000000" w:sz="2"/>
              <w:right w:val="single" w:color="000000" w:sz="2"/>
            </w:tcBorders>
            <w:shd w:color="000000" w:fill="ffffff" w:val="clear"/>
            <w:tcMar>
              <w:left w:w="10" w:type="dxa"/>
              <w:right w:w="10" w:type="dxa"/>
            </w:tcMar>
            <w:vAlign w:val="center"/>
          </w:tcPr>
          <w:p>
            <w:pPr>
              <w:spacing w:before="0" w:after="0" w:line="360"/>
              <w:ind w:right="-3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Item</w:t>
            </w:r>
          </w:p>
          <w:p>
            <w:pPr>
              <w:spacing w:before="0" w:after="0" w:line="360"/>
              <w:ind w:right="-3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do</w:t>
            </w:r>
          </w:p>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TR</w:t>
            </w:r>
          </w:p>
        </w:tc>
        <w:tc>
          <w:tcPr>
            <w:tcW w:w="8683" w:type="dxa"/>
            <w:gridSpan w:val="8"/>
            <w:tcBorders>
              <w:top w:val="single" w:color="000000" w:sz="2"/>
              <w:left w:val="single" w:color="000000" w:sz="2"/>
              <w:bottom w:val="single" w:color="000000" w:sz="2"/>
              <w:right w:val="single" w:color="000000" w:sz="2"/>
            </w:tcBorders>
            <w:shd w:color="000000" w:fill="ffffff" w:val="clear"/>
            <w:tcMar>
              <w:left w:w="10" w:type="dxa"/>
              <w:right w:w="10" w:type="dxa"/>
            </w:tcMar>
            <w:vAlign w:val="top"/>
          </w:tcPr>
          <w:p>
            <w:pPr>
              <w:spacing w:before="0" w:after="0" w:line="360"/>
              <w:ind w:right="-30" w:left="0" w:firstLine="0"/>
              <w:jc w:val="center"/>
              <w:rPr>
                <w:rFonts w:ascii="Times New Roman" w:hAnsi="Times New Roman" w:cs="Times New Roman" w:eastAsia="Times New Roman"/>
                <w:color w:val="FF0000"/>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Fornecedor </w:t>
            </w:r>
            <w:r>
              <w:rPr>
                <w:rFonts w:ascii="Times New Roman" w:hAnsi="Times New Roman" w:cs="Times New Roman" w:eastAsia="Times New Roman"/>
                <w:color w:val="FF0000"/>
                <w:spacing w:val="0"/>
                <w:position w:val="0"/>
                <w:sz w:val="24"/>
                <w:shd w:fill="auto" w:val="clear"/>
              </w:rPr>
              <w:t xml:space="preserve">(razão social, CNPJ/MF, endereço, contatos, representante)</w:t>
            </w:r>
          </w:p>
          <w:p>
            <w:pPr>
              <w:spacing w:before="0" w:after="0" w:line="360"/>
              <w:ind w:right="-30" w:left="0" w:firstLine="0"/>
              <w:jc w:val="center"/>
              <w:rPr>
                <w:spacing w:val="0"/>
                <w:position w:val="0"/>
                <w:shd w:fill="auto" w:val="clear"/>
              </w:rPr>
            </w:pPr>
          </w:p>
        </w:tc>
      </w:tr>
      <w:tr>
        <w:trPr>
          <w:trHeight w:val="674" w:hRule="auto"/>
          <w:jc w:val="left"/>
        </w:trPr>
        <w:tc>
          <w:tcPr>
            <w:tcW w:w="709"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center"/>
          </w:tcPr>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X</w:t>
            </w:r>
          </w:p>
        </w:tc>
        <w:tc>
          <w:tcPr>
            <w:tcW w:w="112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Especificação</w:t>
            </w:r>
          </w:p>
        </w:tc>
        <w:tc>
          <w:tcPr>
            <w:tcW w:w="1253"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Marca </w:t>
            </w:r>
          </w:p>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(se exigida no edital)</w:t>
            </w:r>
          </w:p>
        </w:tc>
        <w:tc>
          <w:tcPr>
            <w:tcW w:w="154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Modelo</w:t>
            </w:r>
          </w:p>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(se exigido no edital)</w:t>
            </w:r>
          </w:p>
        </w:tc>
        <w:tc>
          <w:tcPr>
            <w:tcW w:w="112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Unidade</w:t>
            </w:r>
          </w:p>
        </w:tc>
        <w:tc>
          <w:tcPr>
            <w:tcW w:w="112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QuantidadeMáxima</w:t>
            </w:r>
          </w:p>
        </w:tc>
        <w:tc>
          <w:tcPr>
            <w:tcW w:w="841" w:type="dxa"/>
            <w:tcBorders>
              <w:top w:val="single" w:color="000000" w:sz="0"/>
              <w:left w:val="single" w:color="000000" w:sz="2"/>
              <w:bottom w:val="single" w:color="000000" w:sz="2"/>
              <w:right w:val="single" w:color="000000" w:sz="2"/>
            </w:tcBorders>
            <w:shd w:color="000000" w:fill="ffffff" w:val="clear"/>
            <w:tcMar>
              <w:left w:w="10" w:type="dxa"/>
              <w:right w:w="10" w:type="dxa"/>
            </w:tcMar>
            <w:vAlign w:val="top"/>
          </w:tcPr>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Quantidade Mínima</w:t>
            </w:r>
          </w:p>
        </w:tc>
        <w:tc>
          <w:tcPr>
            <w:tcW w:w="84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Valor Un</w:t>
            </w:r>
          </w:p>
        </w:tc>
        <w:tc>
          <w:tcPr>
            <w:tcW w:w="844" w:type="dxa"/>
            <w:tcBorders>
              <w:top w:val="single" w:color="000000" w:sz="0"/>
              <w:left w:val="single" w:color="000000" w:sz="2"/>
              <w:bottom w:val="single" w:color="000000" w:sz="2"/>
              <w:right w:val="single" w:color="000000" w:sz="2"/>
            </w:tcBorders>
            <w:shd w:color="000000" w:fill="ffffff" w:val="clear"/>
            <w:tcMar>
              <w:left w:w="10" w:type="dxa"/>
              <w:right w:w="10" w:type="dxa"/>
            </w:tcMar>
            <w:vAlign w:val="top"/>
          </w:tcPr>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Prazo garantia ou validade</w:t>
            </w:r>
          </w:p>
        </w:tc>
      </w:tr>
      <w:tr>
        <w:trPr>
          <w:trHeight w:val="174" w:hRule="auto"/>
          <w:jc w:val="left"/>
        </w:trPr>
        <w:tc>
          <w:tcPr>
            <w:tcW w:w="709"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112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1253"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154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112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112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841" w:type="dxa"/>
            <w:tcBorders>
              <w:top w:val="single" w:color="000000" w:sz="0"/>
              <w:left w:val="single" w:color="000000" w:sz="2"/>
              <w:bottom w:val="single" w:color="000000" w:sz="2"/>
              <w:right w:val="single" w:color="000000" w:sz="2"/>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84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844" w:type="dxa"/>
            <w:tcBorders>
              <w:top w:val="single" w:color="000000" w:sz="0"/>
              <w:left w:val="single" w:color="000000" w:sz="2"/>
              <w:bottom w:val="single" w:color="000000" w:sz="2"/>
              <w:right w:val="single" w:color="000000" w:sz="2"/>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r>
    </w:tbl>
    <w:p>
      <w:pPr>
        <w:spacing w:before="0" w:after="0" w:line="360"/>
        <w:ind w:right="0" w:left="0" w:firstLine="0"/>
        <w:jc w:val="left"/>
        <w:rPr>
          <w:rFonts w:ascii="Times New Roman" w:hAnsi="Times New Roman" w:cs="Times New Roman" w:eastAsia="Times New Roman"/>
          <w:color w:val="auto"/>
          <w:spacing w:val="0"/>
          <w:position w:val="0"/>
          <w:sz w:val="24"/>
          <w:shd w:fill="auto" w:val="clear"/>
        </w:rPr>
      </w:pPr>
    </w:p>
    <w:p>
      <w:pPr>
        <w:numPr>
          <w:ilvl w:val="0"/>
          <w:numId w:val="21"/>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 listagem do cadastro de reserva referente ao presente registro de preços consta como anexo a esta Ata.</w:t>
      </w:r>
    </w:p>
    <w:p>
      <w:pPr>
        <w:keepNext w:val="true"/>
        <w:keepLines w:val="true"/>
        <w:numPr>
          <w:ilvl w:val="0"/>
          <w:numId w:val="21"/>
        </w:numPr>
        <w:tabs>
          <w:tab w:val="left" w:pos="567" w:leader="none"/>
        </w:tabs>
        <w:spacing w:before="120" w:after="120" w:line="276"/>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ÓRGÃO(S) GERENCIADOR E PARTICIPANTE(S)</w:t>
      </w:r>
    </w:p>
    <w:p>
      <w:pPr>
        <w:numPr>
          <w:ilvl w:val="0"/>
          <w:numId w:val="21"/>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O órgão gerenciador será o Fundo Municipal de Saúde. </w:t>
      </w:r>
    </w:p>
    <w:p>
      <w:pPr>
        <w:keepNext w:val="true"/>
        <w:keepLines w:val="true"/>
        <w:numPr>
          <w:ilvl w:val="0"/>
          <w:numId w:val="21"/>
        </w:numPr>
        <w:tabs>
          <w:tab w:val="left" w:pos="567" w:leader="none"/>
        </w:tabs>
        <w:spacing w:before="120" w:after="120" w:line="276"/>
        <w:ind w:right="0" w:left="0" w:firstLine="0"/>
        <w:jc w:val="both"/>
        <w:rPr>
          <w:rFonts w:ascii="Times New Roman" w:hAnsi="Times New Roman" w:cs="Times New Roman" w:eastAsia="Times New Roman"/>
          <w:b/>
          <w:color w:val="FF0000"/>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DA ADESÃO À ATA DE REGISTRO DE PREÇOS </w:t>
      </w:r>
    </w:p>
    <w:p>
      <w:pPr>
        <w:numPr>
          <w:ilvl w:val="0"/>
          <w:numId w:val="21"/>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FF0000"/>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Não será admitida a adesão à ata de registro de preços decorrente desta licitação ou desta contratação direta, conforme justificativa apresentada nos estudos técnicos preliminares.</w:t>
      </w:r>
    </w:p>
    <w:p>
      <w:pPr>
        <w:numPr>
          <w:ilvl w:val="0"/>
          <w:numId w:val="21"/>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pPr>
        <w:spacing w:before="240" w:after="120" w:line="276"/>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Vedação a acréscimo de quantitativos</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É vedado efetuar acréscimos nos quantitativos fixados na ata de registro de preços.</w:t>
      </w:r>
    </w:p>
    <w:p>
      <w:pPr>
        <w:keepNext w:val="true"/>
        <w:keepLines w:val="true"/>
        <w:numPr>
          <w:ilvl w:val="0"/>
          <w:numId w:val="27"/>
        </w:numPr>
        <w:tabs>
          <w:tab w:val="left" w:pos="567" w:leader="none"/>
        </w:tabs>
        <w:spacing w:before="120" w:after="120" w:line="276"/>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VALIDADE, FORMALIZAÇÃO DA ATA DE REGISTRO DE PREÇOS E CADASTRO RESERVA</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 validade da Ata de Registro de Preços será de 1 (um) ano, contado a partir do primeiro dia útil subsequente à data de divulgação no PNCP, podendo ser prorrogada por igual período, mediante a anuência do fornecedor, desde que comprovado o preço vantajoso.</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Na formalização do contrato ou do instrumento substituto deverá haver a indicação da disponibilidade dos créditos orçamentários respectivos.</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O instrumento contratual de que trata o item 5.2. deverá ser assinado no prazo de validade da ata de registro de preços.</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Os contratos decorrentes do sistema de registro de preços poderão ser alterados, observado o art. 124 da Lei nº 14.133, de 2021.</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Após a homologação da licitação ou da contratação direta, deverão ser observadas as seguintes condições para formalização da ata de registro de preços:</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Serão registrados na ata os preços e os quantitativos do adjudicatário, devendo ser observada a possibilidade de o licitante oferecer ou não proposta em quantitativo inferior ao máximo previsto no edital e se obrigar nos limites dela;</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Será incluído na ata, na forma de anexo, o registro dos licitantes ou dos fornecedores que:</w:t>
      </w:r>
    </w:p>
    <w:p>
      <w:pPr>
        <w:numPr>
          <w:ilvl w:val="0"/>
          <w:numId w:val="27"/>
        </w:numPr>
        <w:spacing w:before="120" w:after="120" w:line="276"/>
        <w:ind w:right="0" w:left="567"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Aceitarem cotar os bens, as obras ou os serviços com preços iguais aos do adjudicatário, observada a classificação da licitação; e </w:t>
      </w:r>
    </w:p>
    <w:p>
      <w:pPr>
        <w:numPr>
          <w:ilvl w:val="0"/>
          <w:numId w:val="27"/>
        </w:numPr>
        <w:spacing w:before="120" w:after="120" w:line="276"/>
        <w:ind w:right="0" w:left="567"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Mantiverem sua proposta original. </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Será respeitada, nas contratações, a ordem de classificação dos licitantes ou dos fornecedores registrados na ata.</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O registro a que se refere o item 5.4.2</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tem por objetivo a formação de cadastro de reserva para o caso de impossibilidade de atendimento pelo signatário da ata.</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Para fins da ordem de classificação, os licitantes ou fornecedores que aceitarem reduzir suas propostas para o preço do adjudicatário antecederão aqueles que mantiverem sua proposta original.</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 habilitação dos licitantes que comporão o cadastro de reserva a que se refere o item 5.4.2.2 somente será efetuada quando houver necessidade de contratação dos licitantes remanescentes, nas seguintes hipóteses:</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Quando o licitante vencedor não assinar a ata de registro de preços, no prazo e nas condições estabelecidos no edital</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Quando houver o cancelamento do registro do licitante ou do registro de preços nas hipóteses previstas no item 9.</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O preço registrado com indicação dos licitantes e fornecedores será divulgado no PNCP e ficará disponibilizado durante a vigência da ata de registro de preços.</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O prazo de convocação poderá ser prorrogado 1 (uma) vez, por igual período, mediante solicitação do licitante ou fornecedor convocado, desde que apresentada dentro do prazo, devidamente justificada, e que a justificativa seja aceita pela Administração.</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 ata de registro de preços será assinada por meio de assinatura digital e disponibilizada no Sistema de Registro de Preços.</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Na hipótese de nenhum dos licitantes que trata o item 5.4.2.1, aceitar a contratação nos termos do item anterior, a Administração, observados o valor estimado e sua eventual atualização nos termos do edital, poderá:</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Convocar para negociação os demais licitantes ou fornecedores remanescentes cujos preços foram registrados sem redução, observada a ordem de classificação, com vistas à obtenção de preço melhor, mesmo que acima do preço do adjudicatário; ou</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Adjudicar e firmar o contrato nas condições ofertadas pelos licitantes ou fornecedores remanescentes, atendida a ordem classificatória, quando frustrada a negociação de melhor condição.</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keepNext w:val="true"/>
        <w:keepLines w:val="true"/>
        <w:numPr>
          <w:ilvl w:val="0"/>
          <w:numId w:val="27"/>
        </w:numPr>
        <w:tabs>
          <w:tab w:val="left" w:pos="567" w:leader="none"/>
        </w:tabs>
        <w:spacing w:before="120" w:after="120" w:line="276"/>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ALTERAÇÃO OU ATUALIZAÇÃO DOS PREÇOS REGISTRADOS</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Os preços registrados poderão ser alterados ou atualizados em decorrência de eventual redução dos preços praticados no mercado ou de fato que eleve o custo dos bens, das obras ou dos serviços registrados, nas seguintes situações:</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Em caso de força maior, caso fortuito ou fato do príncipe ou em decorrência de fatos imprevisíveis ou previsíveis de consequências incalculáveis, que inviabilizem a execução da ata tal como pactuada, nos termos da </w:t>
      </w:r>
      <w:r>
        <w:rPr>
          <w:rFonts w:ascii="Times New Roman" w:hAnsi="Times New Roman" w:cs="Times New Roman" w:eastAsia="Times New Roman"/>
          <w:color w:val="0000EF"/>
          <w:spacing w:val="0"/>
          <w:position w:val="0"/>
          <w:sz w:val="24"/>
          <w:shd w:fill="auto" w:val="clear"/>
        </w:rPr>
        <w:t xml:space="preserve">alínea “d” do inciso II do caput do art. 124 da Lei nº 14.133, de 2021;</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Em caso de criação, alteração ou extinção de quaisquer tributos ou encargos legais ou a superveniência de disposições legais, com comprovada repercussão sobre os preços registrados; </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Na hipótese de previsão no edital ou no aviso de contratação direta de cláusula de reajustamento ou repactuação sobre os preços registrados, nos termos da Lei nº 14.133, de 2021.</w:t>
      </w:r>
    </w:p>
    <w:p>
      <w:pPr>
        <w:numPr>
          <w:ilvl w:val="0"/>
          <w:numId w:val="27"/>
        </w:numPr>
        <w:spacing w:before="120" w:after="120" w:line="276"/>
        <w:ind w:right="0" w:left="567"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No caso do reajustamento, deverá ser respeitada a contagem da anualidade e o índice previstos para a contratação;  </w:t>
      </w:r>
    </w:p>
    <w:p>
      <w:pPr>
        <w:numPr>
          <w:ilvl w:val="0"/>
          <w:numId w:val="27"/>
        </w:numPr>
        <w:spacing w:before="120" w:after="120" w:line="276"/>
        <w:ind w:right="0" w:left="567"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No caso da repactuação, poderá ser a pedido do interessado, conforme critérios definidos para a contratação.</w:t>
      </w:r>
    </w:p>
    <w:p>
      <w:pPr>
        <w:keepNext w:val="true"/>
        <w:keepLines w:val="true"/>
        <w:numPr>
          <w:ilvl w:val="0"/>
          <w:numId w:val="27"/>
        </w:numPr>
        <w:tabs>
          <w:tab w:val="left" w:pos="567" w:leader="none"/>
        </w:tabs>
        <w:spacing w:before="120" w:after="120" w:line="276"/>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NEGOCIAÇÃO DE PREÇOS REGISTRADOS</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Na hipótese de o preço registrado tornar-se superior ao preço praticado no mercado por motivo superveniente, o órgão ou entidade gerenciadora convocará o fornecedor para negociar a redução do preço registrado.</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Caso não aceite reduzir seu preço aos valores praticados pelo mercado, o fornecedor será liberado do compromisso assumido quanto ao item registrado, sem aplicação de penalidades administrativas.</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Se não obtiver êxito nas negociações, o órgão ou entidade gerenciadora procederá ao cancelamento da ata de registro de preços, adotando as medidas cabíveis para obtenção de contratação mais vantajosa.</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Neste caso, o fornecedor encaminhará, juntamente com o pedido de alteração, a documentação comprobatória ou a planilha de custos que demonstre a inviabilidade do preço registrado em relação às condições inicialmente pactuadas.</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Se não obtiver êxito nas negociações, o órgão ou entidade gerenciadora procederá ao cancelamento da ata de registro de preços, nos termos do item 9.4, e adotará as medidas cabíveis para a obtenção da contratação mais vantajosa.</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pPr>
        <w:keepNext w:val="true"/>
        <w:keepLines w:val="true"/>
        <w:numPr>
          <w:ilvl w:val="0"/>
          <w:numId w:val="27"/>
        </w:numPr>
        <w:tabs>
          <w:tab w:val="left" w:pos="567" w:leader="none"/>
        </w:tabs>
        <w:spacing w:before="120" w:after="120" w:line="276"/>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REMANEJAMENTO DAS QUANTIDADES REGISTRADAS NA ATA DE REGISTRO DE PREÇOS</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O remanejamento somente poderá ser feito:</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De órgão ou entidade participante para órgão ou entidade participante; ou</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De órgão ou entidade participante para órgão ou entidade não participante.</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O órgão ou entidade gerenciadora que tiver estimado as quantidades que pretende contratar será considerado participante para efeito do remanejamento.</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Na hipótese de remanejamento de órgão ou entidade participante para órgão ou entidade não participante, serão observados os limites previstos no art. 32 do Decreto nº 11.462, de 2023.</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pPr>
        <w:keepNext w:val="true"/>
        <w:keepLines w:val="true"/>
        <w:numPr>
          <w:ilvl w:val="0"/>
          <w:numId w:val="27"/>
        </w:numPr>
        <w:tabs>
          <w:tab w:val="left" w:pos="567" w:leader="none"/>
        </w:tabs>
        <w:spacing w:before="120" w:after="120" w:line="276"/>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CANCELAMENTO DO REGISTRO DO LICITANTE VENCEDOR E DOS PREÇOS REGISTRADOS</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O registro do fornecedor será cancelado pelo gerenciador, quando o fornecedor:</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Descumprir as condições da ata de registro de preços, sem motivo justificado;</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Não retirar a nota de empenho, ou instrumento equivalente, no prazo estabelecido pela Administração sem justificativa razoável;</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Não aceitar manter seu preço registrado, na hipótese prevista no artigo 27, § 2º, do Decreto nº 11.462, de 2023; ou</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Sofrer sanção prevista nos incisos III ou IV do caput do art. 156 da Lei nº 14.133, de 2021.</w:t>
      </w:r>
    </w:p>
    <w:p>
      <w:pPr>
        <w:numPr>
          <w:ilvl w:val="0"/>
          <w:numId w:val="27"/>
        </w:numPr>
        <w:spacing w:before="120" w:after="120" w:line="276"/>
        <w:ind w:right="0" w:left="567"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O cancelamento de registros nas hipóteses previstas no item 9.1 será formalizado por despacho do órgão ou da entidade gerenciadora, garantidos os princípios do contraditório e da ampla defesa.</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Na hipótese de cancelamento do registro do fornecedor, o órgão ou a entidade gerenciadora poderá convocar os licitantes que compõem o cadastro de reserva, observada a ordem de classificação.</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O cancelamento dos preços registrados poderá ser realizado pelo gerenciador, em determinada ata de registro de preços, total ou parcialmente, nas seguintes hipóteses, desde que devidamente comprovadas e justificadas: </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Por razão de interesse público;</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 pedido do fornecedor, decorrente de caso fortuito ou força maior; ou</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Se não houver êxito nas negociações, nas hipóteses em que o preço de mercado tornar-se superior ou inferior ao preço registrado, nos termos do artigos 26, § 3º e  27, § 4º, ambos do Decreto nº 11.462, de 2023. </w:t>
      </w:r>
    </w:p>
    <w:p>
      <w:pPr>
        <w:keepNext w:val="true"/>
        <w:keepLines w:val="true"/>
        <w:numPr>
          <w:ilvl w:val="0"/>
          <w:numId w:val="27"/>
        </w:numPr>
        <w:tabs>
          <w:tab w:val="left" w:pos="567" w:leader="none"/>
        </w:tabs>
        <w:spacing w:before="120" w:after="120" w:line="276"/>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DAS PENALIDADES</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O descumprimento da Ata de Registro de Preços ensejará aplicação das penalidades estabelecidas no edital.</w:t>
      </w:r>
    </w:p>
    <w:p>
      <w:pPr>
        <w:numPr>
          <w:ilvl w:val="0"/>
          <w:numId w:val="27"/>
        </w:numPr>
        <w:spacing w:before="120" w:after="120" w:line="276"/>
        <w:ind w:right="0" w:left="28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As sanções também se aplicam aos integrantes do cadastro de reserva no registro de preços que, convocados, não honrarem o compromisso assumido injustificadamente após terem assinado a ata. </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O órgão ou entidade participante deverá comunicar ao órgão gerenciador qualquer das ocorrências previstas no item 9.1, dada a necessidade de instauração de procedimento para cancelamento do registro do fornecedor.</w:t>
      </w:r>
    </w:p>
    <w:p>
      <w:pPr>
        <w:keepNext w:val="true"/>
        <w:keepLines w:val="true"/>
        <w:numPr>
          <w:ilvl w:val="0"/>
          <w:numId w:val="27"/>
        </w:numPr>
        <w:tabs>
          <w:tab w:val="left" w:pos="567" w:leader="none"/>
        </w:tabs>
        <w:spacing w:before="120" w:after="120" w:line="276"/>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CONDIÇÕES GERAIS</w:t>
      </w:r>
    </w:p>
    <w:p>
      <w:pPr>
        <w:numPr>
          <w:ilvl w:val="0"/>
          <w:numId w:val="27"/>
        </w:numPr>
        <w:spacing w:before="120" w:after="12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As condições gerais de execução do objeto, tais como os prazos para entrega e recebimento, as obrigações da Administração e do fornecedor registrado, penalidades e demais condições do ajuste, encontram-se definidos no Termo de Referência, ANEXO AO EDITAL</w:t>
      </w:r>
      <w:r>
        <w:rPr>
          <w:rFonts w:ascii="Times New Roman" w:hAnsi="Times New Roman" w:cs="Times New Roman" w:eastAsia="Times New Roman"/>
          <w:color w:val="FF0000"/>
          <w:spacing w:val="0"/>
          <w:position w:val="0"/>
          <w:sz w:val="24"/>
          <w:shd w:fill="auto" w:val="clear"/>
        </w:rPr>
        <w:t xml:space="preserve"> </w:t>
      </w:r>
    </w:p>
    <w:p>
      <w:pPr>
        <w:spacing w:before="120" w:after="120" w:line="276"/>
        <w:ind w:right="0" w:left="0" w:firstLine="0"/>
        <w:jc w:val="both"/>
        <w:rPr>
          <w:rFonts w:ascii="Times New Roman" w:hAnsi="Times New Roman" w:cs="Times New Roman" w:eastAsia="Times New Roman"/>
          <w:color w:val="FF0000"/>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Para firmeza e validade do pactuado, a presente Ata foi lavrada em </w:t>
      </w:r>
      <w:r>
        <w:rPr>
          <w:rFonts w:ascii="Times New Roman" w:hAnsi="Times New Roman" w:cs="Times New Roman" w:eastAsia="Times New Roman"/>
          <w:color w:val="FF0000"/>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FF0000"/>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vias de igual teor, que, depois de lida e achada em ordem, vai assinada pelas partes </w:t>
      </w:r>
    </w:p>
    <w:p>
      <w:pPr>
        <w:spacing w:before="0" w:after="0" w:line="360"/>
        <w:ind w:right="-3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Local e data</w:t>
      </w:r>
    </w:p>
    <w:p>
      <w:pPr>
        <w:spacing w:before="0" w:after="0" w:line="360"/>
        <w:ind w:right="-3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Assinaturas</w:t>
      </w:r>
    </w:p>
    <w:p>
      <w:pPr>
        <w:spacing w:before="0" w:after="0" w:line="360"/>
        <w:ind w:right="-30" w:left="0" w:firstLine="0"/>
        <w:jc w:val="center"/>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Representante legal do órgão gerenciador e representante(s) legal(is) do(s) </w:t>
      </w:r>
      <w:r>
        <w:rPr>
          <w:rFonts w:ascii="Times New Roman" w:hAnsi="Times New Roman" w:cs="Times New Roman" w:eastAsia="Times New Roman"/>
          <w:color w:val="000000"/>
          <w:spacing w:val="0"/>
          <w:position w:val="0"/>
          <w:sz w:val="24"/>
          <w:shd w:fill="auto" w:val="clear"/>
        </w:rPr>
        <w:t xml:space="preserve">fornecedor(s) registrado(s)</w:t>
      </w:r>
    </w:p>
    <w:p>
      <w:pPr>
        <w:spacing w:before="0" w:after="0" w:line="360"/>
        <w:ind w:right="-30" w:left="0" w:firstLine="0"/>
        <w:jc w:val="center"/>
        <w:rPr>
          <w:rFonts w:ascii="Times New Roman" w:hAnsi="Times New Roman" w:cs="Times New Roman" w:eastAsia="Times New Roman"/>
          <w:color w:val="000000"/>
          <w:spacing w:val="0"/>
          <w:position w:val="0"/>
          <w:sz w:val="24"/>
          <w:shd w:fill="auto" w:val="clear"/>
        </w:rPr>
      </w:pPr>
    </w:p>
    <w:p>
      <w:pPr>
        <w:spacing w:before="0" w:after="0" w:line="360"/>
        <w:ind w:right="-30" w:left="0" w:firstLine="0"/>
        <w:jc w:val="center"/>
        <w:rPr>
          <w:rFonts w:ascii="Times New Roman" w:hAnsi="Times New Roman" w:cs="Times New Roman" w:eastAsia="Times New Roman"/>
          <w:color w:val="000000"/>
          <w:spacing w:val="0"/>
          <w:position w:val="0"/>
          <w:sz w:val="24"/>
          <w:shd w:fill="auto" w:val="clear"/>
        </w:rPr>
      </w:pPr>
    </w:p>
    <w:p>
      <w:pPr>
        <w:spacing w:before="0" w:after="0" w:line="360"/>
        <w:ind w:right="-30" w:left="0" w:firstLine="0"/>
        <w:jc w:val="center"/>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Cadastro Reserva</w:t>
      </w:r>
    </w:p>
    <w:p>
      <w:pPr>
        <w:spacing w:before="0" w:after="0" w:line="360"/>
        <w:ind w:right="-30" w:left="0" w:firstLine="0"/>
        <w:jc w:val="center"/>
        <w:rPr>
          <w:rFonts w:ascii="Times New Roman" w:hAnsi="Times New Roman" w:cs="Times New Roman" w:eastAsia="Times New Roman"/>
          <w:color w:val="000000"/>
          <w:spacing w:val="0"/>
          <w:position w:val="0"/>
          <w:sz w:val="24"/>
          <w:shd w:fill="auto" w:val="clear"/>
        </w:rPr>
      </w:pPr>
    </w:p>
    <w:p>
      <w:pPr>
        <w:spacing w:before="0" w:after="0" w:line="360"/>
        <w:ind w:right="-30" w:left="0" w:firstLine="0"/>
        <w:jc w:val="center"/>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Seguindo a ordem de classificação, segue relação de fornecedores que aceitaram cotar os itens com preços iguais ao adjudicatário:</w:t>
      </w:r>
    </w:p>
    <w:p>
      <w:pPr>
        <w:spacing w:before="0" w:after="0" w:line="360"/>
        <w:ind w:right="-30" w:left="0" w:firstLine="0"/>
        <w:jc w:val="center"/>
        <w:rPr>
          <w:rFonts w:ascii="Times New Roman" w:hAnsi="Times New Roman" w:cs="Times New Roman" w:eastAsia="Times New Roman"/>
          <w:color w:val="000000"/>
          <w:spacing w:val="0"/>
          <w:position w:val="0"/>
          <w:sz w:val="24"/>
          <w:shd w:fill="auto" w:val="clear"/>
        </w:rPr>
      </w:pPr>
    </w:p>
    <w:tbl>
      <w:tblPr>
        <w:tblInd w:w="10" w:type="dxa"/>
      </w:tblPr>
      <w:tblGrid>
        <w:gridCol w:w="497"/>
        <w:gridCol w:w="1333"/>
        <w:gridCol w:w="1253"/>
        <w:gridCol w:w="1541"/>
        <w:gridCol w:w="1121"/>
        <w:gridCol w:w="1121"/>
        <w:gridCol w:w="841"/>
        <w:gridCol w:w="841"/>
        <w:gridCol w:w="844"/>
      </w:tblGrid>
      <w:tr>
        <w:trPr>
          <w:trHeight w:val="511" w:hRule="auto"/>
          <w:jc w:val="left"/>
        </w:trPr>
        <w:tc>
          <w:tcPr>
            <w:tcW w:w="497" w:type="dxa"/>
            <w:tcBorders>
              <w:top w:val="single" w:color="000000" w:sz="2"/>
              <w:left w:val="single" w:color="000000" w:sz="2"/>
              <w:bottom w:val="single" w:color="000000" w:sz="2"/>
              <w:right w:val="single" w:color="000000" w:sz="2"/>
            </w:tcBorders>
            <w:shd w:color="000000" w:fill="ffffff" w:val="clear"/>
            <w:tcMar>
              <w:left w:w="10" w:type="dxa"/>
              <w:right w:w="10" w:type="dxa"/>
            </w:tcMar>
            <w:vAlign w:val="center"/>
          </w:tcPr>
          <w:p>
            <w:pPr>
              <w:spacing w:before="0" w:after="0" w:line="360"/>
              <w:ind w:right="-3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Item</w:t>
            </w:r>
          </w:p>
          <w:p>
            <w:pPr>
              <w:spacing w:before="0" w:after="0" w:line="360"/>
              <w:ind w:right="-3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do</w:t>
            </w:r>
          </w:p>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TR</w:t>
            </w:r>
          </w:p>
        </w:tc>
        <w:tc>
          <w:tcPr>
            <w:tcW w:w="8895" w:type="dxa"/>
            <w:gridSpan w:val="8"/>
            <w:tcBorders>
              <w:top w:val="single" w:color="000000" w:sz="2"/>
              <w:left w:val="single" w:color="000000" w:sz="2"/>
              <w:bottom w:val="single" w:color="000000" w:sz="2"/>
              <w:right w:val="single" w:color="000000" w:sz="2"/>
            </w:tcBorders>
            <w:shd w:color="000000" w:fill="ffffff" w:val="clear"/>
            <w:tcMar>
              <w:left w:w="10" w:type="dxa"/>
              <w:right w:w="10" w:type="dxa"/>
            </w:tcMar>
            <w:vAlign w:val="top"/>
          </w:tcPr>
          <w:p>
            <w:pPr>
              <w:spacing w:before="0" w:after="0" w:line="360"/>
              <w:ind w:right="-30" w:left="0" w:firstLine="0"/>
              <w:jc w:val="center"/>
              <w:rPr>
                <w:rFonts w:ascii="Times New Roman" w:hAnsi="Times New Roman" w:cs="Times New Roman" w:eastAsia="Times New Roman"/>
                <w:color w:val="FF0000"/>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Fornecedor </w:t>
            </w:r>
            <w:r>
              <w:rPr>
                <w:rFonts w:ascii="Times New Roman" w:hAnsi="Times New Roman" w:cs="Times New Roman" w:eastAsia="Times New Roman"/>
                <w:color w:val="FF0000"/>
                <w:spacing w:val="0"/>
                <w:position w:val="0"/>
                <w:sz w:val="24"/>
                <w:shd w:fill="auto" w:val="clear"/>
              </w:rPr>
              <w:t xml:space="preserve">(razão social, CNPJ/MF, endereço, contatos, representante)</w:t>
            </w:r>
          </w:p>
          <w:p>
            <w:pPr>
              <w:spacing w:before="0" w:after="0" w:line="360"/>
              <w:ind w:right="-30" w:left="0" w:firstLine="0"/>
              <w:jc w:val="center"/>
              <w:rPr>
                <w:spacing w:val="0"/>
                <w:position w:val="0"/>
                <w:shd w:fill="auto" w:val="clear"/>
              </w:rPr>
            </w:pPr>
          </w:p>
        </w:tc>
      </w:tr>
      <w:tr>
        <w:trPr>
          <w:trHeight w:val="674" w:hRule="auto"/>
          <w:jc w:val="left"/>
        </w:trPr>
        <w:tc>
          <w:tcPr>
            <w:tcW w:w="497"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center"/>
          </w:tcPr>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X</w:t>
            </w:r>
          </w:p>
        </w:tc>
        <w:tc>
          <w:tcPr>
            <w:tcW w:w="1333"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Especificação</w:t>
            </w:r>
          </w:p>
        </w:tc>
        <w:tc>
          <w:tcPr>
            <w:tcW w:w="1253"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Marca </w:t>
            </w:r>
          </w:p>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(se exigida no edital)</w:t>
            </w:r>
          </w:p>
        </w:tc>
        <w:tc>
          <w:tcPr>
            <w:tcW w:w="154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Modelo</w:t>
            </w:r>
          </w:p>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(se exigido no edital)</w:t>
            </w:r>
          </w:p>
        </w:tc>
        <w:tc>
          <w:tcPr>
            <w:tcW w:w="112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Unidade</w:t>
            </w:r>
          </w:p>
        </w:tc>
        <w:tc>
          <w:tcPr>
            <w:tcW w:w="112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QuantidadeMáxima</w:t>
            </w:r>
          </w:p>
        </w:tc>
        <w:tc>
          <w:tcPr>
            <w:tcW w:w="841" w:type="dxa"/>
            <w:tcBorders>
              <w:top w:val="single" w:color="000000" w:sz="0"/>
              <w:left w:val="single" w:color="000000" w:sz="2"/>
              <w:bottom w:val="single" w:color="000000" w:sz="2"/>
              <w:right w:val="single" w:color="000000" w:sz="2"/>
            </w:tcBorders>
            <w:shd w:color="000000" w:fill="ffffff" w:val="clear"/>
            <w:tcMar>
              <w:left w:w="10" w:type="dxa"/>
              <w:right w:w="10" w:type="dxa"/>
            </w:tcMar>
            <w:vAlign w:val="top"/>
          </w:tcPr>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Quantidade Mínima</w:t>
            </w:r>
          </w:p>
        </w:tc>
        <w:tc>
          <w:tcPr>
            <w:tcW w:w="84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Valor Un</w:t>
            </w:r>
          </w:p>
        </w:tc>
        <w:tc>
          <w:tcPr>
            <w:tcW w:w="844" w:type="dxa"/>
            <w:tcBorders>
              <w:top w:val="single" w:color="000000" w:sz="0"/>
              <w:left w:val="single" w:color="000000" w:sz="2"/>
              <w:bottom w:val="single" w:color="000000" w:sz="2"/>
              <w:right w:val="single" w:color="000000" w:sz="2"/>
            </w:tcBorders>
            <w:shd w:color="000000" w:fill="ffffff" w:val="clear"/>
            <w:tcMar>
              <w:left w:w="10" w:type="dxa"/>
              <w:right w:w="10" w:type="dxa"/>
            </w:tcMar>
            <w:vAlign w:val="top"/>
          </w:tcPr>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Prazo garantia ou validade</w:t>
            </w:r>
          </w:p>
        </w:tc>
      </w:tr>
      <w:tr>
        <w:trPr>
          <w:trHeight w:val="174" w:hRule="auto"/>
          <w:jc w:val="left"/>
        </w:trPr>
        <w:tc>
          <w:tcPr>
            <w:tcW w:w="497"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1333"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1253"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154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112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112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841" w:type="dxa"/>
            <w:tcBorders>
              <w:top w:val="single" w:color="000000" w:sz="0"/>
              <w:left w:val="single" w:color="000000" w:sz="2"/>
              <w:bottom w:val="single" w:color="000000" w:sz="2"/>
              <w:right w:val="single" w:color="000000" w:sz="2"/>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84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844" w:type="dxa"/>
            <w:tcBorders>
              <w:top w:val="single" w:color="000000" w:sz="0"/>
              <w:left w:val="single" w:color="000000" w:sz="2"/>
              <w:bottom w:val="single" w:color="000000" w:sz="2"/>
              <w:right w:val="single" w:color="000000" w:sz="2"/>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r>
    </w:tbl>
    <w:p>
      <w:pPr>
        <w:spacing w:before="0" w:after="0" w:line="360"/>
        <w:ind w:right="-30" w:left="0" w:firstLine="0"/>
        <w:jc w:val="center"/>
        <w:rPr>
          <w:rFonts w:ascii="Times New Roman" w:hAnsi="Times New Roman" w:cs="Times New Roman" w:eastAsia="Times New Roman"/>
          <w:color w:val="000000"/>
          <w:spacing w:val="0"/>
          <w:position w:val="0"/>
          <w:sz w:val="24"/>
          <w:shd w:fill="auto" w:val="clear"/>
        </w:rPr>
      </w:pPr>
    </w:p>
    <w:p>
      <w:pPr>
        <w:spacing w:before="0" w:after="0" w:line="360"/>
        <w:ind w:right="-30" w:left="0" w:firstLine="0"/>
        <w:jc w:val="center"/>
        <w:rPr>
          <w:rFonts w:ascii="Times New Roman" w:hAnsi="Times New Roman" w:cs="Times New Roman" w:eastAsia="Times New Roman"/>
          <w:color w:val="000000"/>
          <w:spacing w:val="0"/>
          <w:position w:val="0"/>
          <w:sz w:val="24"/>
          <w:shd w:fill="auto" w:val="clear"/>
        </w:rPr>
      </w:pPr>
    </w:p>
    <w:p>
      <w:pPr>
        <w:spacing w:before="0" w:after="0" w:line="360"/>
        <w:ind w:right="-30" w:left="0" w:firstLine="0"/>
        <w:jc w:val="center"/>
        <w:rPr>
          <w:rFonts w:ascii="Times New Roman" w:hAnsi="Times New Roman" w:cs="Times New Roman" w:eastAsia="Times New Roman"/>
          <w:color w:val="000000"/>
          <w:spacing w:val="0"/>
          <w:position w:val="0"/>
          <w:sz w:val="24"/>
          <w:shd w:fill="auto" w:val="clear"/>
        </w:rPr>
      </w:pPr>
    </w:p>
    <w:p>
      <w:pPr>
        <w:spacing w:before="0" w:after="0" w:line="360"/>
        <w:ind w:right="-30" w:left="0" w:firstLine="0"/>
        <w:jc w:val="center"/>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Seguindo a ordem de classificação, segue relação de fornecedores que mantiveram sua proposta original:</w:t>
      </w:r>
    </w:p>
    <w:p>
      <w:pPr>
        <w:spacing w:before="0" w:after="0" w:line="360"/>
        <w:ind w:right="-30" w:left="0" w:firstLine="0"/>
        <w:jc w:val="center"/>
        <w:rPr>
          <w:rFonts w:ascii="Times New Roman" w:hAnsi="Times New Roman" w:cs="Times New Roman" w:eastAsia="Times New Roman"/>
          <w:color w:val="000000"/>
          <w:spacing w:val="0"/>
          <w:position w:val="0"/>
          <w:sz w:val="24"/>
          <w:shd w:fill="auto" w:val="clear"/>
        </w:rPr>
      </w:pPr>
    </w:p>
    <w:tbl>
      <w:tblPr>
        <w:tblInd w:w="10" w:type="dxa"/>
      </w:tblPr>
      <w:tblGrid>
        <w:gridCol w:w="696"/>
        <w:gridCol w:w="1134"/>
        <w:gridCol w:w="1253"/>
        <w:gridCol w:w="1541"/>
        <w:gridCol w:w="1121"/>
        <w:gridCol w:w="1121"/>
        <w:gridCol w:w="841"/>
        <w:gridCol w:w="841"/>
        <w:gridCol w:w="844"/>
      </w:tblGrid>
      <w:tr>
        <w:trPr>
          <w:trHeight w:val="511" w:hRule="auto"/>
          <w:jc w:val="left"/>
        </w:trPr>
        <w:tc>
          <w:tcPr>
            <w:tcW w:w="696" w:type="dxa"/>
            <w:tcBorders>
              <w:top w:val="single" w:color="000000" w:sz="2"/>
              <w:left w:val="single" w:color="000000" w:sz="2"/>
              <w:bottom w:val="single" w:color="000000" w:sz="2"/>
              <w:right w:val="single" w:color="000000" w:sz="2"/>
            </w:tcBorders>
            <w:shd w:color="000000" w:fill="ffffff" w:val="clear"/>
            <w:tcMar>
              <w:left w:w="10" w:type="dxa"/>
              <w:right w:w="10" w:type="dxa"/>
            </w:tcMar>
            <w:vAlign w:val="center"/>
          </w:tcPr>
          <w:p>
            <w:pPr>
              <w:spacing w:before="0" w:after="0" w:line="360"/>
              <w:ind w:right="-3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Item</w:t>
            </w:r>
          </w:p>
          <w:p>
            <w:pPr>
              <w:spacing w:before="0" w:after="0" w:line="360"/>
              <w:ind w:right="-3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do</w:t>
            </w:r>
          </w:p>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TR</w:t>
            </w:r>
          </w:p>
        </w:tc>
        <w:tc>
          <w:tcPr>
            <w:tcW w:w="8696" w:type="dxa"/>
            <w:gridSpan w:val="8"/>
            <w:tcBorders>
              <w:top w:val="single" w:color="000000" w:sz="2"/>
              <w:left w:val="single" w:color="000000" w:sz="2"/>
              <w:bottom w:val="single" w:color="000000" w:sz="2"/>
              <w:right w:val="single" w:color="000000" w:sz="2"/>
            </w:tcBorders>
            <w:shd w:color="000000" w:fill="ffffff" w:val="clear"/>
            <w:tcMar>
              <w:left w:w="10" w:type="dxa"/>
              <w:right w:w="10" w:type="dxa"/>
            </w:tcMar>
            <w:vAlign w:val="top"/>
          </w:tcPr>
          <w:p>
            <w:pPr>
              <w:spacing w:before="0" w:after="0" w:line="360"/>
              <w:ind w:right="-30" w:left="0" w:firstLine="0"/>
              <w:jc w:val="center"/>
              <w:rPr>
                <w:rFonts w:ascii="Times New Roman" w:hAnsi="Times New Roman" w:cs="Times New Roman" w:eastAsia="Times New Roman"/>
                <w:color w:val="FF0000"/>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Fornecedor </w:t>
            </w:r>
            <w:r>
              <w:rPr>
                <w:rFonts w:ascii="Times New Roman" w:hAnsi="Times New Roman" w:cs="Times New Roman" w:eastAsia="Times New Roman"/>
                <w:color w:val="FF0000"/>
                <w:spacing w:val="0"/>
                <w:position w:val="0"/>
                <w:sz w:val="24"/>
                <w:shd w:fill="auto" w:val="clear"/>
              </w:rPr>
              <w:t xml:space="preserve">(razão social, CNPJ/MF, endereço, contatos, representante)</w:t>
            </w:r>
          </w:p>
          <w:p>
            <w:pPr>
              <w:spacing w:before="0" w:after="0" w:line="360"/>
              <w:ind w:right="-30" w:left="0" w:firstLine="0"/>
              <w:jc w:val="center"/>
              <w:rPr>
                <w:spacing w:val="0"/>
                <w:position w:val="0"/>
                <w:shd w:fill="auto" w:val="clear"/>
              </w:rPr>
            </w:pPr>
          </w:p>
        </w:tc>
      </w:tr>
      <w:tr>
        <w:trPr>
          <w:trHeight w:val="674" w:hRule="auto"/>
          <w:jc w:val="left"/>
        </w:trPr>
        <w:tc>
          <w:tcPr>
            <w:tcW w:w="696"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center"/>
          </w:tcPr>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X</w:t>
            </w:r>
          </w:p>
        </w:tc>
        <w:tc>
          <w:tcPr>
            <w:tcW w:w="1134"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Especificação</w:t>
            </w:r>
          </w:p>
        </w:tc>
        <w:tc>
          <w:tcPr>
            <w:tcW w:w="1253"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Marca </w:t>
            </w:r>
          </w:p>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(se exigida no edital)</w:t>
            </w:r>
          </w:p>
        </w:tc>
        <w:tc>
          <w:tcPr>
            <w:tcW w:w="154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Modelo</w:t>
            </w:r>
          </w:p>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(se exigido no edital)</w:t>
            </w:r>
          </w:p>
        </w:tc>
        <w:tc>
          <w:tcPr>
            <w:tcW w:w="112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Unidade</w:t>
            </w:r>
          </w:p>
        </w:tc>
        <w:tc>
          <w:tcPr>
            <w:tcW w:w="112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QuantidadeMáxima</w:t>
            </w:r>
          </w:p>
        </w:tc>
        <w:tc>
          <w:tcPr>
            <w:tcW w:w="841" w:type="dxa"/>
            <w:tcBorders>
              <w:top w:val="single" w:color="000000" w:sz="0"/>
              <w:left w:val="single" w:color="000000" w:sz="2"/>
              <w:bottom w:val="single" w:color="000000" w:sz="2"/>
              <w:right w:val="single" w:color="000000" w:sz="2"/>
            </w:tcBorders>
            <w:shd w:color="000000" w:fill="ffffff" w:val="clear"/>
            <w:tcMar>
              <w:left w:w="10" w:type="dxa"/>
              <w:right w:w="10" w:type="dxa"/>
            </w:tcMar>
            <w:vAlign w:val="top"/>
          </w:tcPr>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Quantidade Mínima</w:t>
            </w:r>
          </w:p>
        </w:tc>
        <w:tc>
          <w:tcPr>
            <w:tcW w:w="84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Valor Un</w:t>
            </w:r>
          </w:p>
        </w:tc>
        <w:tc>
          <w:tcPr>
            <w:tcW w:w="844" w:type="dxa"/>
            <w:tcBorders>
              <w:top w:val="single" w:color="000000" w:sz="0"/>
              <w:left w:val="single" w:color="000000" w:sz="2"/>
              <w:bottom w:val="single" w:color="000000" w:sz="2"/>
              <w:right w:val="single" w:color="000000" w:sz="2"/>
            </w:tcBorders>
            <w:shd w:color="000000" w:fill="ffffff" w:val="clear"/>
            <w:tcMar>
              <w:left w:w="10" w:type="dxa"/>
              <w:right w:w="10" w:type="dxa"/>
            </w:tcMar>
            <w:vAlign w:val="top"/>
          </w:tcPr>
          <w:p>
            <w:pPr>
              <w:spacing w:before="0" w:after="0" w:line="360"/>
              <w:ind w:right="-3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Prazo garantia ou validade</w:t>
            </w:r>
          </w:p>
        </w:tc>
      </w:tr>
      <w:tr>
        <w:trPr>
          <w:trHeight w:val="174" w:hRule="auto"/>
          <w:jc w:val="left"/>
        </w:trPr>
        <w:tc>
          <w:tcPr>
            <w:tcW w:w="696"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1134"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1253"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154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112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112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841" w:type="dxa"/>
            <w:tcBorders>
              <w:top w:val="single" w:color="000000" w:sz="0"/>
              <w:left w:val="single" w:color="000000" w:sz="2"/>
              <w:bottom w:val="single" w:color="000000" w:sz="2"/>
              <w:right w:val="single" w:color="000000" w:sz="2"/>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841" w:type="dxa"/>
            <w:tcBorders>
              <w:top w:val="single" w:color="000000" w:sz="0"/>
              <w:left w:val="single" w:color="000000" w:sz="2"/>
              <w:bottom w:val="single" w:color="000000" w:sz="2"/>
              <w:right w:val="single" w:color="000000" w:sz="0"/>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c>
          <w:tcPr>
            <w:tcW w:w="844" w:type="dxa"/>
            <w:tcBorders>
              <w:top w:val="single" w:color="000000" w:sz="0"/>
              <w:left w:val="single" w:color="000000" w:sz="2"/>
              <w:bottom w:val="single" w:color="000000" w:sz="2"/>
              <w:right w:val="single" w:color="000000" w:sz="2"/>
            </w:tcBorders>
            <w:shd w:color="000000" w:fill="ffffff" w:val="clear"/>
            <w:tcMar>
              <w:left w:w="10" w:type="dxa"/>
              <w:right w:w="10" w:type="dxa"/>
            </w:tcMar>
            <w:vAlign w:val="top"/>
          </w:tcPr>
          <w:p>
            <w:pPr>
              <w:spacing w:before="0" w:after="0" w:line="360"/>
              <w:ind w:right="-30" w:left="0" w:firstLine="0"/>
              <w:jc w:val="both"/>
              <w:rPr>
                <w:rFonts w:ascii="Calibri" w:hAnsi="Calibri" w:cs="Calibri" w:eastAsia="Calibri"/>
                <w:color w:val="auto"/>
                <w:spacing w:val="0"/>
                <w:position w:val="0"/>
                <w:sz w:val="22"/>
                <w:shd w:fill="auto" w:val="clear"/>
              </w:rPr>
            </w:pPr>
          </w:p>
        </w:tc>
      </w:tr>
    </w:tbl>
    <w:p>
      <w:pPr>
        <w:spacing w:before="0" w:after="0" w:line="360"/>
        <w:ind w:right="-30" w:left="0" w:firstLine="0"/>
        <w:jc w:val="center"/>
        <w:rPr>
          <w:rFonts w:ascii="Times New Roman" w:hAnsi="Times New Roman" w:cs="Times New Roman" w:eastAsia="Times New Roman"/>
          <w:color w:val="000000"/>
          <w:spacing w:val="0"/>
          <w:position w:val="0"/>
          <w:sz w:val="24"/>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num w:numId="5">
    <w:abstractNumId w:val="12"/>
  </w:num>
  <w:num w:numId="21">
    <w:abstractNumId w:val="6"/>
  </w:num>
  <w:num w:numId="27">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